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35" w:rsidRPr="00E6496B" w:rsidRDefault="00122135" w:rsidP="00122135">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t>附件</w:t>
      </w:r>
      <w:r w:rsidR="00C31191">
        <w:rPr>
          <w:rFonts w:asciiTheme="minorEastAsia" w:eastAsiaTheme="minorEastAsia" w:hAnsiTheme="minorEastAsia" w:hint="eastAsia"/>
          <w:bdr w:val="single" w:sz="4" w:space="0" w:color="auto"/>
        </w:rPr>
        <w:t>二</w:t>
      </w:r>
      <w:r w:rsidRPr="00E6496B">
        <w:rPr>
          <w:rFonts w:asciiTheme="minorEastAsia" w:eastAsiaTheme="minorEastAsia" w:hAnsiTheme="minorEastAsia" w:hint="eastAsia"/>
        </w:rPr>
        <w:t xml:space="preserve">                 ○○國民中</w:t>
      </w:r>
      <w:r>
        <w:rPr>
          <w:rFonts w:asciiTheme="minorEastAsia" w:eastAsiaTheme="minorEastAsia" w:hAnsiTheme="minorEastAsia" w:hint="eastAsia"/>
        </w:rPr>
        <w:t>(小)</w:t>
      </w:r>
      <w:r w:rsidRPr="00E6496B">
        <w:rPr>
          <w:rFonts w:asciiTheme="minorEastAsia" w:eastAsiaTheme="minorEastAsia" w:hAnsiTheme="minorEastAsia" w:hint="eastAsia"/>
        </w:rPr>
        <w:t>學總體課程架構</w:t>
      </w:r>
      <w:r w:rsidR="00FD53AD">
        <w:rPr>
          <w:rFonts w:asciiTheme="minorEastAsia" w:eastAsiaTheme="minorEastAsia" w:hAnsiTheme="minorEastAsia" w:hint="eastAsia"/>
        </w:rPr>
        <w:t>實施前準</w:t>
      </w:r>
      <w:r w:rsidR="006B03F8">
        <w:rPr>
          <w:rFonts w:asciiTheme="minorEastAsia" w:eastAsiaTheme="minorEastAsia" w:hAnsiTheme="minorEastAsia" w:hint="eastAsia"/>
        </w:rPr>
        <w:t>備</w:t>
      </w:r>
      <w:r w:rsidR="00FD53AD">
        <w:rPr>
          <w:rFonts w:asciiTheme="minorEastAsia" w:eastAsiaTheme="minorEastAsia" w:hAnsiTheme="minorEastAsia" w:hint="eastAsia"/>
        </w:rPr>
        <w:t>階段</w:t>
      </w:r>
      <w:r w:rsidRPr="00E6496B">
        <w:rPr>
          <w:rFonts w:asciiTheme="minorEastAsia" w:eastAsiaTheme="minorEastAsia" w:hAnsiTheme="minorEastAsia" w:hint="eastAsia"/>
          <w:color w:val="000000" w:themeColor="text1"/>
        </w:rPr>
        <w:t>課程評鑑紀錄表</w:t>
      </w:r>
    </w:p>
    <w:p w:rsidR="00122135" w:rsidRPr="00E6496B" w:rsidRDefault="00122135" w:rsidP="00122135">
      <w:pPr>
        <w:pStyle w:val="a3"/>
        <w:numPr>
          <w:ilvl w:val="0"/>
          <w:numId w:val="1"/>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122135" w:rsidRPr="00E6496B" w:rsidRDefault="00122135" w:rsidP="00122135">
      <w:pPr>
        <w:pStyle w:val="a3"/>
        <w:numPr>
          <w:ilvl w:val="0"/>
          <w:numId w:val="1"/>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地點：</w:t>
      </w:r>
    </w:p>
    <w:p w:rsidR="00122135" w:rsidRPr="00E6496B" w:rsidRDefault="00122135" w:rsidP="00122135">
      <w:pPr>
        <w:pStyle w:val="a3"/>
        <w:numPr>
          <w:ilvl w:val="0"/>
          <w:numId w:val="1"/>
        </w:numPr>
        <w:tabs>
          <w:tab w:val="left" w:pos="13750"/>
        </w:tabs>
        <w:ind w:leftChars="0"/>
        <w:rPr>
          <w:rFonts w:asciiTheme="minorEastAsia" w:eastAsiaTheme="minorEastAsia" w:hAnsiTheme="minorEastAsia"/>
        </w:rPr>
      </w:pPr>
      <w:r w:rsidRPr="00E6496B">
        <w:rPr>
          <w:rFonts w:asciiTheme="minorEastAsia" w:eastAsiaTheme="minorEastAsia" w:hAnsiTheme="minorEastAsia" w:hint="eastAsia"/>
        </w:rPr>
        <w:t>主席：                             四、紀錄：</w:t>
      </w:r>
    </w:p>
    <w:p w:rsidR="00122135" w:rsidRPr="00E6496B" w:rsidRDefault="00122135" w:rsidP="00122135">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122135" w:rsidRPr="00E6496B" w:rsidRDefault="00122135" w:rsidP="00122135">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2142DF" w:rsidRDefault="00122135" w:rsidP="00122135">
      <w:pPr>
        <w:tabs>
          <w:tab w:val="left" w:pos="13750"/>
        </w:tabs>
        <w:rPr>
          <w:rFonts w:asciiTheme="minorEastAsia" w:eastAsiaTheme="minorEastAsia" w:hAnsiTheme="minorEastAsia"/>
        </w:rPr>
      </w:pPr>
      <w:r w:rsidRPr="00E6496B">
        <w:rPr>
          <w:rFonts w:asciiTheme="minorEastAsia" w:eastAsiaTheme="minorEastAsia" w:hAnsiTheme="minorEastAsia" w:hint="eastAsia"/>
        </w:rPr>
        <w:t>七、總體課程架構</w:t>
      </w:r>
      <w:r w:rsidR="002B5C61">
        <w:rPr>
          <w:rFonts w:asciiTheme="minorEastAsia" w:eastAsiaTheme="minorEastAsia" w:hAnsiTheme="minorEastAsia" w:hint="eastAsia"/>
        </w:rPr>
        <w:t>實施前準備階段</w:t>
      </w:r>
      <w:r w:rsidR="002B5C61" w:rsidRPr="00E6496B">
        <w:rPr>
          <w:rFonts w:asciiTheme="minorEastAsia" w:eastAsiaTheme="minorEastAsia" w:hAnsiTheme="minorEastAsia" w:hint="eastAsia"/>
          <w:color w:val="000000" w:themeColor="text1"/>
        </w:rPr>
        <w:t>課程</w:t>
      </w:r>
      <w:r w:rsidRPr="00E6496B">
        <w:rPr>
          <w:rFonts w:asciiTheme="minorEastAsia" w:eastAsiaTheme="minorEastAsia" w:hAnsiTheme="minorEastAsia" w:hint="eastAsia"/>
        </w:rPr>
        <w:t>評鑑結果：</w:t>
      </w:r>
    </w:p>
    <w:tbl>
      <w:tblPr>
        <w:tblStyle w:val="a4"/>
        <w:tblW w:w="0" w:type="auto"/>
        <w:tblInd w:w="137" w:type="dxa"/>
        <w:tblLayout w:type="fixed"/>
        <w:tblLook w:val="04A0" w:firstRow="1" w:lastRow="0" w:firstColumn="1" w:lastColumn="0" w:noHBand="0" w:noVBand="1"/>
      </w:tblPr>
      <w:tblGrid>
        <w:gridCol w:w="397"/>
        <w:gridCol w:w="454"/>
        <w:gridCol w:w="680"/>
        <w:gridCol w:w="3260"/>
        <w:gridCol w:w="70"/>
        <w:gridCol w:w="951"/>
        <w:gridCol w:w="2381"/>
        <w:gridCol w:w="425"/>
        <w:gridCol w:w="425"/>
        <w:gridCol w:w="426"/>
        <w:gridCol w:w="454"/>
      </w:tblGrid>
      <w:tr w:rsidR="00334A91" w:rsidRPr="00E6496B" w:rsidTr="002142DF">
        <w:trPr>
          <w:trHeight w:val="380"/>
        </w:trPr>
        <w:tc>
          <w:tcPr>
            <w:tcW w:w="851" w:type="dxa"/>
            <w:gridSpan w:val="2"/>
            <w:vMerge w:val="restart"/>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680" w:type="dxa"/>
            <w:vMerge w:val="restart"/>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3402" w:type="dxa"/>
            <w:gridSpan w:val="3"/>
            <w:vMerge w:val="restart"/>
            <w:vAlign w:val="center"/>
          </w:tcPr>
          <w:p w:rsidR="00334A91" w:rsidRPr="00E6496B" w:rsidRDefault="00334A91" w:rsidP="00334A9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質性</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730" w:type="dxa"/>
            <w:gridSpan w:val="4"/>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r>
      <w:tr w:rsidR="00334A91" w:rsidRPr="00E6496B" w:rsidTr="00334A91">
        <w:trPr>
          <w:trHeight w:val="930"/>
        </w:trPr>
        <w:tc>
          <w:tcPr>
            <w:tcW w:w="851" w:type="dxa"/>
            <w:gridSpan w:val="2"/>
            <w:vMerge/>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p>
        </w:tc>
        <w:tc>
          <w:tcPr>
            <w:tcW w:w="680" w:type="dxa"/>
            <w:vMerge/>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p>
        </w:tc>
        <w:tc>
          <w:tcPr>
            <w:tcW w:w="3260" w:type="dxa"/>
            <w:vMerge/>
          </w:tcPr>
          <w:p w:rsidR="00334A91" w:rsidRPr="00E6496B" w:rsidRDefault="00334A91" w:rsidP="002A4E99">
            <w:pPr>
              <w:widowControl/>
              <w:rPr>
                <w:rFonts w:asciiTheme="minorEastAsia" w:eastAsiaTheme="minorEastAsia" w:hAnsiTheme="minorEastAsia"/>
                <w:color w:val="000000" w:themeColor="text1"/>
                <w:sz w:val="20"/>
                <w:szCs w:val="20"/>
              </w:rPr>
            </w:pPr>
          </w:p>
        </w:tc>
        <w:tc>
          <w:tcPr>
            <w:tcW w:w="3402" w:type="dxa"/>
            <w:gridSpan w:val="3"/>
            <w:vMerge/>
          </w:tcPr>
          <w:p w:rsidR="00334A91" w:rsidRPr="00E6496B" w:rsidRDefault="00334A91" w:rsidP="002A4E99">
            <w:pPr>
              <w:widowControl/>
              <w:rPr>
                <w:rFonts w:asciiTheme="minorEastAsia" w:eastAsiaTheme="minorEastAsia" w:hAnsiTheme="minorEastAsia"/>
                <w:color w:val="000000" w:themeColor="text1"/>
                <w:sz w:val="20"/>
                <w:szCs w:val="20"/>
              </w:rPr>
            </w:pPr>
          </w:p>
        </w:tc>
        <w:tc>
          <w:tcPr>
            <w:tcW w:w="425" w:type="dxa"/>
          </w:tcPr>
          <w:p w:rsidR="00334A91" w:rsidRPr="00E6496B" w:rsidRDefault="00334A91" w:rsidP="002A4E99">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sidRPr="00E6496B">
              <w:rPr>
                <w:rFonts w:asciiTheme="minorEastAsia" w:eastAsiaTheme="minorEastAsia" w:hAnsiTheme="minorEastAsia" w:cs="新細明體" w:hint="eastAsia"/>
                <w:color w:val="000000" w:themeColor="text1"/>
                <w:spacing w:val="-32"/>
                <w:kern w:val="20"/>
                <w:sz w:val="20"/>
                <w:szCs w:val="20"/>
              </w:rPr>
              <w:t>優良</w:t>
            </w:r>
          </w:p>
        </w:tc>
        <w:tc>
          <w:tcPr>
            <w:tcW w:w="425" w:type="dxa"/>
          </w:tcPr>
          <w:p w:rsidR="00334A91" w:rsidRPr="00E6496B" w:rsidRDefault="00334A91" w:rsidP="002A4E99">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良好</w:t>
            </w:r>
          </w:p>
        </w:tc>
        <w:tc>
          <w:tcPr>
            <w:tcW w:w="426" w:type="dxa"/>
          </w:tcPr>
          <w:p w:rsidR="00334A91" w:rsidRPr="00E6496B" w:rsidRDefault="00334A91" w:rsidP="002A4E99">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sidRPr="00E6496B">
              <w:rPr>
                <w:rFonts w:asciiTheme="minorEastAsia" w:eastAsiaTheme="minorEastAsia" w:hAnsiTheme="minorEastAsia" w:cs="新細明體" w:hint="eastAsia"/>
                <w:color w:val="000000" w:themeColor="text1"/>
                <w:spacing w:val="-32"/>
                <w:kern w:val="20"/>
                <w:sz w:val="20"/>
                <w:szCs w:val="20"/>
              </w:rPr>
              <w:t>普通</w:t>
            </w:r>
          </w:p>
        </w:tc>
        <w:tc>
          <w:tcPr>
            <w:tcW w:w="454" w:type="dxa"/>
          </w:tcPr>
          <w:p w:rsidR="00334A91" w:rsidRPr="00E6496B" w:rsidRDefault="00334A91" w:rsidP="002A4E99">
            <w:pPr>
              <w:widowControl/>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待改善</w:t>
            </w:r>
          </w:p>
        </w:tc>
      </w:tr>
      <w:tr w:rsidR="00334A91" w:rsidRPr="00E6496B" w:rsidTr="002142DF">
        <w:trPr>
          <w:trHeight w:val="260"/>
        </w:trPr>
        <w:tc>
          <w:tcPr>
            <w:tcW w:w="851" w:type="dxa"/>
            <w:gridSpan w:val="2"/>
            <w:vMerge/>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p>
        </w:tc>
        <w:tc>
          <w:tcPr>
            <w:tcW w:w="680" w:type="dxa"/>
            <w:vMerge/>
            <w:vAlign w:val="center"/>
          </w:tcPr>
          <w:p w:rsidR="00334A91" w:rsidRPr="00E6496B" w:rsidRDefault="00334A91" w:rsidP="002A4E99">
            <w:pPr>
              <w:widowControl/>
              <w:jc w:val="center"/>
              <w:rPr>
                <w:rFonts w:asciiTheme="minorEastAsia" w:eastAsiaTheme="minorEastAsia" w:hAnsiTheme="minorEastAsia"/>
                <w:color w:val="000000" w:themeColor="text1"/>
                <w:sz w:val="20"/>
                <w:szCs w:val="20"/>
              </w:rPr>
            </w:pPr>
          </w:p>
        </w:tc>
        <w:tc>
          <w:tcPr>
            <w:tcW w:w="3260" w:type="dxa"/>
            <w:vMerge/>
          </w:tcPr>
          <w:p w:rsidR="00334A91" w:rsidRPr="00E6496B" w:rsidRDefault="00334A91" w:rsidP="002A4E99">
            <w:pPr>
              <w:widowControl/>
              <w:rPr>
                <w:rFonts w:asciiTheme="minorEastAsia" w:eastAsiaTheme="minorEastAsia" w:hAnsiTheme="minorEastAsia"/>
                <w:color w:val="000000" w:themeColor="text1"/>
                <w:sz w:val="20"/>
                <w:szCs w:val="20"/>
              </w:rPr>
            </w:pPr>
          </w:p>
        </w:tc>
        <w:tc>
          <w:tcPr>
            <w:tcW w:w="3402" w:type="dxa"/>
            <w:gridSpan w:val="3"/>
            <w:vMerge/>
          </w:tcPr>
          <w:p w:rsidR="00334A91" w:rsidRPr="00E6496B" w:rsidRDefault="00334A91" w:rsidP="002A4E99">
            <w:pPr>
              <w:widowControl/>
              <w:rPr>
                <w:rFonts w:asciiTheme="minorEastAsia" w:eastAsiaTheme="minorEastAsia" w:hAnsiTheme="minorEastAsia"/>
                <w:color w:val="000000" w:themeColor="text1"/>
                <w:sz w:val="20"/>
                <w:szCs w:val="20"/>
              </w:rPr>
            </w:pPr>
          </w:p>
        </w:tc>
        <w:tc>
          <w:tcPr>
            <w:tcW w:w="425" w:type="dxa"/>
          </w:tcPr>
          <w:p w:rsidR="00334A91" w:rsidRPr="00E6496B" w:rsidRDefault="00334A91" w:rsidP="002A4E99">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4</w:t>
            </w:r>
          </w:p>
        </w:tc>
        <w:tc>
          <w:tcPr>
            <w:tcW w:w="425" w:type="dxa"/>
          </w:tcPr>
          <w:p w:rsidR="00334A91" w:rsidRDefault="00334A91" w:rsidP="002A4E99">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3</w:t>
            </w:r>
          </w:p>
        </w:tc>
        <w:tc>
          <w:tcPr>
            <w:tcW w:w="426" w:type="dxa"/>
          </w:tcPr>
          <w:p w:rsidR="00334A91" w:rsidRPr="00E6496B" w:rsidRDefault="00334A91" w:rsidP="002A4E99">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2</w:t>
            </w:r>
          </w:p>
        </w:tc>
        <w:tc>
          <w:tcPr>
            <w:tcW w:w="454" w:type="dxa"/>
          </w:tcPr>
          <w:p w:rsidR="00334A91" w:rsidRDefault="00334A91" w:rsidP="002A4E99">
            <w:pPr>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1</w:t>
            </w:r>
          </w:p>
        </w:tc>
      </w:tr>
      <w:tr w:rsidR="002142DF" w:rsidRPr="00E6496B" w:rsidTr="002142DF">
        <w:trPr>
          <w:trHeight w:val="606"/>
        </w:trPr>
        <w:tc>
          <w:tcPr>
            <w:tcW w:w="397" w:type="dxa"/>
            <w:vMerge w:val="restart"/>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bookmarkStart w:id="0" w:name="_GoBack" w:colFirst="0" w:colLast="0"/>
          </w:p>
          <w:p w:rsidR="002142DF" w:rsidRPr="00E6496B" w:rsidRDefault="002142DF" w:rsidP="00631DF7">
            <w:pPr>
              <w:widowControl/>
              <w:jc w:val="center"/>
              <w:rPr>
                <w:rFonts w:asciiTheme="minorEastAsia" w:eastAsiaTheme="minorEastAsia" w:hAnsiTheme="minorEastAsia"/>
                <w:color w:val="000000" w:themeColor="text1"/>
                <w:sz w:val="20"/>
                <w:szCs w:val="20"/>
              </w:rPr>
            </w:pPr>
          </w:p>
          <w:p w:rsidR="002142DF" w:rsidRPr="00E6496B" w:rsidRDefault="002142DF" w:rsidP="00631DF7">
            <w:pPr>
              <w:widowControl/>
              <w:jc w:val="center"/>
              <w:rPr>
                <w:rFonts w:asciiTheme="minorEastAsia" w:eastAsiaTheme="minorEastAsia" w:hAnsiTheme="minorEastAsia"/>
                <w:color w:val="000000" w:themeColor="text1"/>
                <w:sz w:val="20"/>
                <w:szCs w:val="20"/>
              </w:rPr>
            </w:pPr>
          </w:p>
          <w:p w:rsidR="002142DF" w:rsidRPr="00E6496B" w:rsidRDefault="002142DF" w:rsidP="00631DF7">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課程實施</w:t>
            </w:r>
          </w:p>
        </w:tc>
        <w:tc>
          <w:tcPr>
            <w:tcW w:w="454" w:type="dxa"/>
            <w:vMerge w:val="restart"/>
            <w:vAlign w:val="center"/>
          </w:tcPr>
          <w:p w:rsidR="002142DF" w:rsidRPr="00E6496B" w:rsidRDefault="002142DF" w:rsidP="00631DF7">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各課程實施準備</w:t>
            </w:r>
          </w:p>
        </w:tc>
        <w:tc>
          <w:tcPr>
            <w:tcW w:w="680" w:type="dxa"/>
            <w:vMerge w:val="restart"/>
            <w:vAlign w:val="center"/>
          </w:tcPr>
          <w:p w:rsidR="002142DF" w:rsidRPr="00E6496B" w:rsidRDefault="002142DF" w:rsidP="00631DF7">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w:t>
            </w:r>
          </w:p>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260" w:type="dxa"/>
            <w:vAlign w:val="center"/>
          </w:tcPr>
          <w:p w:rsidR="002142DF" w:rsidRPr="00E6496B" w:rsidRDefault="002142DF" w:rsidP="00631DF7">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hint="eastAsia"/>
                <w:sz w:val="20"/>
                <w:szCs w:val="20"/>
              </w:rPr>
              <w:t>校內師資人力及專長足以有效實施各領域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科目及彈性學習節數課程，尤其新設領域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科目，如科技、新住民語文之師資已妥適安排。</w:t>
            </w:r>
          </w:p>
        </w:tc>
        <w:tc>
          <w:tcPr>
            <w:tcW w:w="3402" w:type="dxa"/>
            <w:gridSpan w:val="3"/>
            <w:vMerge w:val="restart"/>
          </w:tcPr>
          <w:p w:rsidR="002142DF" w:rsidRPr="00E6496B" w:rsidRDefault="002142DF" w:rsidP="00631DF7">
            <w:pPr>
              <w:pStyle w:val="Default"/>
              <w:ind w:left="400" w:hanging="400"/>
              <w:rPr>
                <w:rFonts w:asciiTheme="minorEastAsia" w:eastAsiaTheme="minorEastAsia" w:hAnsiTheme="minorEastAsia"/>
                <w:sz w:val="20"/>
                <w:szCs w:val="20"/>
              </w:rPr>
            </w:pPr>
          </w:p>
          <w:p w:rsidR="002142DF" w:rsidRPr="00E6496B" w:rsidRDefault="002142DF" w:rsidP="00631DF7">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bookmarkEnd w:id="0"/>
      <w:tr w:rsidR="002142DF" w:rsidRPr="00E6496B" w:rsidTr="002142DF">
        <w:trPr>
          <w:trHeight w:val="1050"/>
        </w:trPr>
        <w:tc>
          <w:tcPr>
            <w:tcW w:w="397"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454"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680" w:type="dxa"/>
            <w:vMerge/>
            <w:vAlign w:val="center"/>
          </w:tcPr>
          <w:p w:rsidR="002142DF" w:rsidRPr="00E6496B" w:rsidRDefault="002142DF" w:rsidP="00631DF7">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2142DF" w:rsidRPr="00E6496B" w:rsidRDefault="002142DF" w:rsidP="00631DF7">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w:t>
            </w:r>
            <w:r w:rsidRPr="00E6496B">
              <w:rPr>
                <w:rFonts w:asciiTheme="minorEastAsia" w:eastAsiaTheme="minorEastAsia" w:hAnsiTheme="minorEastAsia" w:hint="eastAsia"/>
                <w:sz w:val="20"/>
                <w:szCs w:val="20"/>
              </w:rPr>
              <w:t>校內行政主管和教師已參加主管機關及學校辦理之新課程專業研習或成長活動，對課程綱要內容有充分理解。</w:t>
            </w:r>
          </w:p>
        </w:tc>
        <w:tc>
          <w:tcPr>
            <w:tcW w:w="3402" w:type="dxa"/>
            <w:gridSpan w:val="3"/>
            <w:vMerge/>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tr w:rsidR="002142DF" w:rsidRPr="00E6496B" w:rsidTr="002142DF">
        <w:trPr>
          <w:trHeight w:val="1300"/>
        </w:trPr>
        <w:tc>
          <w:tcPr>
            <w:tcW w:w="397"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454"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680" w:type="dxa"/>
            <w:vMerge/>
            <w:vAlign w:val="center"/>
          </w:tcPr>
          <w:p w:rsidR="002142DF" w:rsidRPr="00E6496B" w:rsidRDefault="002142DF" w:rsidP="00631DF7">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2142DF" w:rsidRPr="00E6496B" w:rsidRDefault="002142DF" w:rsidP="00631DF7">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w:t>
            </w:r>
            <w:r w:rsidRPr="00E6496B">
              <w:rPr>
                <w:rFonts w:asciiTheme="minorEastAsia" w:eastAsiaTheme="minorEastAsia" w:hAnsiTheme="minorEastAsia" w:hint="eastAsia"/>
                <w:sz w:val="20"/>
                <w:szCs w:val="20"/>
              </w:rPr>
              <w:t>教師積極參與各領域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科目教學研究會、年級會議及專業學習社群之專業研討、共同備課、觀課及議課活動，熟知任教課程之課綱、課程計畫及教材內容。</w:t>
            </w:r>
          </w:p>
        </w:tc>
        <w:tc>
          <w:tcPr>
            <w:tcW w:w="3402" w:type="dxa"/>
            <w:gridSpan w:val="3"/>
            <w:vMerge/>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tr w:rsidR="002142DF" w:rsidRPr="00E6496B" w:rsidTr="002142DF">
        <w:trPr>
          <w:trHeight w:val="550"/>
        </w:trPr>
        <w:tc>
          <w:tcPr>
            <w:tcW w:w="397"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454"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680" w:type="dxa"/>
            <w:vAlign w:val="center"/>
          </w:tcPr>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260" w:type="dxa"/>
            <w:vAlign w:val="center"/>
          </w:tcPr>
          <w:p w:rsidR="002142DF" w:rsidRPr="00E6496B" w:rsidRDefault="002142DF" w:rsidP="00631DF7">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3402" w:type="dxa"/>
            <w:gridSpan w:val="3"/>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tr w:rsidR="002142DF" w:rsidRPr="00E6496B" w:rsidTr="002142DF">
        <w:trPr>
          <w:trHeight w:val="1030"/>
        </w:trPr>
        <w:tc>
          <w:tcPr>
            <w:tcW w:w="397"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454"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260" w:type="dxa"/>
            <w:vAlign w:val="center"/>
          </w:tcPr>
          <w:p w:rsidR="002142DF" w:rsidRPr="00E6496B" w:rsidRDefault="002142DF" w:rsidP="00631DF7">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r w:rsidRPr="00E6496B">
              <w:rPr>
                <w:rFonts w:asciiTheme="minorEastAsia" w:eastAsiaTheme="minorEastAsia" w:hAnsiTheme="minorEastAsia" w:hint="eastAsia"/>
                <w:sz w:val="20"/>
                <w:szCs w:val="20"/>
              </w:rPr>
              <w:t>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科目及彈性學習課程所需審定本教材，已依規定程序選用，自編教材及相關教學資源能呼應課程目標並依規定審查。</w:t>
            </w:r>
          </w:p>
        </w:tc>
        <w:tc>
          <w:tcPr>
            <w:tcW w:w="3402" w:type="dxa"/>
            <w:gridSpan w:val="3"/>
            <w:vMerge w:val="restart"/>
          </w:tcPr>
          <w:p w:rsidR="002142DF" w:rsidRPr="00E6496B" w:rsidRDefault="002142DF" w:rsidP="00631DF7">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tr w:rsidR="002142DF" w:rsidRPr="00E6496B" w:rsidTr="002142DF">
        <w:trPr>
          <w:trHeight w:val="521"/>
        </w:trPr>
        <w:tc>
          <w:tcPr>
            <w:tcW w:w="397"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454"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680" w:type="dxa"/>
            <w:vMerge/>
            <w:vAlign w:val="center"/>
          </w:tcPr>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2142DF" w:rsidRPr="00E6496B" w:rsidRDefault="002142DF" w:rsidP="00631DF7">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r w:rsidRPr="00E6496B">
              <w:rPr>
                <w:rFonts w:asciiTheme="minorEastAsia" w:eastAsiaTheme="minorEastAsia" w:hAnsiTheme="minorEastAsia" w:hint="eastAsia"/>
                <w:sz w:val="20"/>
                <w:szCs w:val="20"/>
              </w:rPr>
              <w:t>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科目及彈性學習課程之實施場地與設備，已規劃妥善。</w:t>
            </w:r>
          </w:p>
        </w:tc>
        <w:tc>
          <w:tcPr>
            <w:tcW w:w="3402" w:type="dxa"/>
            <w:gridSpan w:val="3"/>
            <w:vMerge/>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tr w:rsidR="002142DF" w:rsidRPr="00E6496B" w:rsidTr="002142DF">
        <w:trPr>
          <w:trHeight w:val="1128"/>
        </w:trPr>
        <w:tc>
          <w:tcPr>
            <w:tcW w:w="397"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454" w:type="dxa"/>
            <w:vMerge/>
            <w:vAlign w:val="center"/>
          </w:tcPr>
          <w:p w:rsidR="002142DF" w:rsidRPr="00E6496B" w:rsidRDefault="002142DF" w:rsidP="00631DF7">
            <w:pPr>
              <w:widowControl/>
              <w:jc w:val="center"/>
              <w:rPr>
                <w:rFonts w:asciiTheme="minorEastAsia" w:eastAsiaTheme="minorEastAsia" w:hAnsiTheme="minorEastAsia"/>
                <w:color w:val="000000" w:themeColor="text1"/>
                <w:sz w:val="20"/>
                <w:szCs w:val="20"/>
              </w:rPr>
            </w:pPr>
          </w:p>
        </w:tc>
        <w:tc>
          <w:tcPr>
            <w:tcW w:w="680" w:type="dxa"/>
            <w:vAlign w:val="center"/>
          </w:tcPr>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p w:rsidR="002142DF" w:rsidRPr="00E6496B" w:rsidRDefault="002142DF" w:rsidP="00631DF7">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2142DF" w:rsidRPr="00E6496B" w:rsidRDefault="002142DF" w:rsidP="00631DF7">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3402" w:type="dxa"/>
            <w:gridSpan w:val="3"/>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5"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26" w:type="dxa"/>
          </w:tcPr>
          <w:p w:rsidR="002142DF" w:rsidRPr="00E6496B" w:rsidRDefault="002142DF" w:rsidP="00631DF7">
            <w:pPr>
              <w:widowControl/>
              <w:rPr>
                <w:rFonts w:asciiTheme="minorEastAsia" w:eastAsiaTheme="minorEastAsia" w:hAnsiTheme="minorEastAsia"/>
                <w:color w:val="000000" w:themeColor="text1"/>
                <w:sz w:val="20"/>
                <w:szCs w:val="20"/>
              </w:rPr>
            </w:pPr>
          </w:p>
        </w:tc>
        <w:tc>
          <w:tcPr>
            <w:tcW w:w="454" w:type="dxa"/>
          </w:tcPr>
          <w:p w:rsidR="002142DF" w:rsidRPr="00E6496B" w:rsidRDefault="002142DF" w:rsidP="00631DF7">
            <w:pPr>
              <w:widowControl/>
              <w:rPr>
                <w:rFonts w:asciiTheme="minorEastAsia" w:eastAsiaTheme="minorEastAsia" w:hAnsiTheme="minorEastAsia"/>
                <w:color w:val="000000" w:themeColor="text1"/>
                <w:sz w:val="20"/>
                <w:szCs w:val="20"/>
              </w:rPr>
            </w:pPr>
          </w:p>
        </w:tc>
      </w:tr>
      <w:tr w:rsidR="002142DF" w:rsidRPr="00E6496B" w:rsidTr="00896440">
        <w:trPr>
          <w:trHeight w:val="775"/>
        </w:trPr>
        <w:tc>
          <w:tcPr>
            <w:tcW w:w="851" w:type="dxa"/>
            <w:gridSpan w:val="2"/>
          </w:tcPr>
          <w:p w:rsidR="002142DF" w:rsidRPr="00E6496B" w:rsidRDefault="002142DF" w:rsidP="00896440">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課程總體架構綜合性課程評鑑紀錄</w:t>
            </w:r>
          </w:p>
        </w:tc>
        <w:tc>
          <w:tcPr>
            <w:tcW w:w="9072" w:type="dxa"/>
            <w:gridSpan w:val="9"/>
          </w:tcPr>
          <w:p w:rsidR="002142DF" w:rsidRPr="00E6496B" w:rsidRDefault="002142DF" w:rsidP="00896440">
            <w:pPr>
              <w:widowControl/>
              <w:rPr>
                <w:rFonts w:asciiTheme="minorEastAsia" w:eastAsiaTheme="minorEastAsia" w:hAnsiTheme="minorEastAsia"/>
                <w:color w:val="000000" w:themeColor="text1"/>
                <w:sz w:val="20"/>
                <w:szCs w:val="20"/>
              </w:rPr>
            </w:pPr>
          </w:p>
        </w:tc>
      </w:tr>
      <w:tr w:rsidR="00FD53AD" w:rsidRPr="00E6496B" w:rsidTr="00334A91">
        <w:trPr>
          <w:trHeight w:val="775"/>
        </w:trPr>
        <w:tc>
          <w:tcPr>
            <w:tcW w:w="851" w:type="dxa"/>
            <w:gridSpan w:val="2"/>
            <w:vAlign w:val="center"/>
          </w:tcPr>
          <w:p w:rsidR="00334A91" w:rsidRDefault="00334A91" w:rsidP="00334A91">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實施前準備階段</w:t>
            </w:r>
          </w:p>
          <w:p w:rsidR="00FD53AD" w:rsidRPr="00E6496B" w:rsidRDefault="00FD53AD" w:rsidP="00334A91">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照片一</w:t>
            </w:r>
          </w:p>
        </w:tc>
        <w:tc>
          <w:tcPr>
            <w:tcW w:w="4010" w:type="dxa"/>
            <w:gridSpan w:val="3"/>
            <w:vAlign w:val="center"/>
          </w:tcPr>
          <w:p w:rsidR="00FD53AD" w:rsidRDefault="00FD53AD" w:rsidP="008216E9">
            <w:pPr>
              <w:widowControl/>
              <w:jc w:val="center"/>
              <w:rPr>
                <w:rFonts w:asciiTheme="minorEastAsia" w:eastAsiaTheme="minorEastAsia" w:hAnsiTheme="minorEastAsia"/>
                <w:color w:val="000000" w:themeColor="text1"/>
                <w:sz w:val="20"/>
                <w:szCs w:val="20"/>
              </w:rPr>
            </w:pPr>
          </w:p>
          <w:p w:rsidR="00FD53AD" w:rsidRDefault="00FD53AD" w:rsidP="008216E9">
            <w:pPr>
              <w:widowControl/>
              <w:jc w:val="center"/>
              <w:rPr>
                <w:rFonts w:asciiTheme="minorEastAsia" w:eastAsiaTheme="minorEastAsia" w:hAnsiTheme="minorEastAsia"/>
                <w:color w:val="000000" w:themeColor="text1"/>
                <w:sz w:val="20"/>
                <w:szCs w:val="20"/>
              </w:rPr>
            </w:pPr>
          </w:p>
          <w:p w:rsidR="00FD53AD" w:rsidRDefault="00FD53AD" w:rsidP="008216E9">
            <w:pPr>
              <w:widowControl/>
              <w:jc w:val="center"/>
              <w:rPr>
                <w:rFonts w:asciiTheme="minorEastAsia" w:eastAsiaTheme="minorEastAsia" w:hAnsiTheme="minorEastAsia"/>
                <w:color w:val="000000" w:themeColor="text1"/>
                <w:sz w:val="20"/>
                <w:szCs w:val="20"/>
              </w:rPr>
            </w:pPr>
          </w:p>
          <w:p w:rsidR="00FD53AD" w:rsidRDefault="00FD53AD" w:rsidP="008216E9">
            <w:pPr>
              <w:widowControl/>
              <w:jc w:val="center"/>
              <w:rPr>
                <w:rFonts w:asciiTheme="minorEastAsia" w:eastAsiaTheme="minorEastAsia" w:hAnsiTheme="minorEastAsia"/>
                <w:color w:val="000000" w:themeColor="text1"/>
                <w:sz w:val="20"/>
                <w:szCs w:val="20"/>
              </w:rPr>
            </w:pPr>
          </w:p>
          <w:p w:rsidR="00FD53AD" w:rsidRDefault="00FD53AD" w:rsidP="008216E9">
            <w:pPr>
              <w:widowControl/>
              <w:jc w:val="center"/>
              <w:rPr>
                <w:rFonts w:asciiTheme="minorEastAsia" w:eastAsiaTheme="minorEastAsia" w:hAnsiTheme="minorEastAsia"/>
                <w:color w:val="000000" w:themeColor="text1"/>
                <w:sz w:val="20"/>
                <w:szCs w:val="20"/>
              </w:rPr>
            </w:pPr>
          </w:p>
          <w:p w:rsidR="00FD53AD" w:rsidRPr="00E6496B" w:rsidRDefault="00FD53AD" w:rsidP="008216E9">
            <w:pPr>
              <w:widowControl/>
              <w:jc w:val="center"/>
              <w:rPr>
                <w:rFonts w:asciiTheme="minorEastAsia" w:eastAsiaTheme="minorEastAsia" w:hAnsiTheme="minorEastAsia"/>
                <w:color w:val="000000" w:themeColor="text1"/>
                <w:sz w:val="20"/>
                <w:szCs w:val="20"/>
              </w:rPr>
            </w:pPr>
          </w:p>
        </w:tc>
        <w:tc>
          <w:tcPr>
            <w:tcW w:w="951" w:type="dxa"/>
            <w:vAlign w:val="center"/>
          </w:tcPr>
          <w:p w:rsidR="00334A91" w:rsidRDefault="00334A91" w:rsidP="00334A91">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實施前準備階段</w:t>
            </w:r>
          </w:p>
          <w:p w:rsidR="00FD53AD" w:rsidRPr="00E6496B" w:rsidRDefault="00FD53AD" w:rsidP="00334A91">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lastRenderedPageBreak/>
              <w:t>照片</w:t>
            </w:r>
            <w:r w:rsidR="00076362">
              <w:rPr>
                <w:rFonts w:asciiTheme="minorEastAsia" w:eastAsiaTheme="minorEastAsia" w:hAnsiTheme="minorEastAsia" w:hint="eastAsia"/>
                <w:color w:val="000000" w:themeColor="text1"/>
                <w:sz w:val="20"/>
                <w:szCs w:val="20"/>
              </w:rPr>
              <w:t>二</w:t>
            </w:r>
          </w:p>
        </w:tc>
        <w:tc>
          <w:tcPr>
            <w:tcW w:w="4111" w:type="dxa"/>
            <w:gridSpan w:val="5"/>
          </w:tcPr>
          <w:p w:rsidR="00FD53AD" w:rsidRPr="00E6496B" w:rsidRDefault="00FD53AD" w:rsidP="008216E9">
            <w:pPr>
              <w:widowControl/>
              <w:rPr>
                <w:rFonts w:asciiTheme="minorEastAsia" w:eastAsiaTheme="minorEastAsia" w:hAnsiTheme="minorEastAsia"/>
                <w:color w:val="000000" w:themeColor="text1"/>
                <w:sz w:val="20"/>
                <w:szCs w:val="20"/>
              </w:rPr>
            </w:pPr>
          </w:p>
        </w:tc>
      </w:tr>
    </w:tbl>
    <w:p w:rsidR="002142DF" w:rsidRDefault="002142DF" w:rsidP="00122135">
      <w:pPr>
        <w:tabs>
          <w:tab w:val="left" w:pos="13750"/>
        </w:tabs>
        <w:rPr>
          <w:rFonts w:asciiTheme="minorEastAsia" w:eastAsiaTheme="minorEastAsia" w:hAnsiTheme="minorEastAsia"/>
        </w:rPr>
      </w:pPr>
    </w:p>
    <w:sectPr w:rsidR="002142DF" w:rsidSect="001221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03" w:rsidRDefault="00C10503" w:rsidP="00FD53AD">
      <w:r>
        <w:separator/>
      </w:r>
    </w:p>
  </w:endnote>
  <w:endnote w:type="continuationSeparator" w:id="0">
    <w:p w:rsidR="00C10503" w:rsidRDefault="00C10503" w:rsidP="00FD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03" w:rsidRDefault="00C10503" w:rsidP="00FD53AD">
      <w:r>
        <w:separator/>
      </w:r>
    </w:p>
  </w:footnote>
  <w:footnote w:type="continuationSeparator" w:id="0">
    <w:p w:rsidR="00C10503" w:rsidRDefault="00C10503" w:rsidP="00FD5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62A9B"/>
    <w:multiLevelType w:val="hybridMultilevel"/>
    <w:tmpl w:val="1990E808"/>
    <w:lvl w:ilvl="0" w:tplc="189C6C44">
      <w:start w:val="1"/>
      <w:numFmt w:val="taiwaneseCountingThousand"/>
      <w:lvlText w:val="%1、"/>
      <w:lvlJc w:val="left"/>
      <w:pPr>
        <w:ind w:left="480" w:hanging="480"/>
      </w:pPr>
      <w:rPr>
        <w:rFonts w:ascii="Times New Roman" w:eastAsia="標楷體" w:hAnsi="Times New Roman"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35"/>
    <w:rsid w:val="000307E9"/>
    <w:rsid w:val="0004447D"/>
    <w:rsid w:val="00076362"/>
    <w:rsid w:val="00122135"/>
    <w:rsid w:val="002142DF"/>
    <w:rsid w:val="00285EEF"/>
    <w:rsid w:val="002B5C61"/>
    <w:rsid w:val="00334A91"/>
    <w:rsid w:val="00632199"/>
    <w:rsid w:val="006B03F8"/>
    <w:rsid w:val="00AE5256"/>
    <w:rsid w:val="00C10503"/>
    <w:rsid w:val="00C31191"/>
    <w:rsid w:val="00D947A6"/>
    <w:rsid w:val="00E37ADC"/>
    <w:rsid w:val="00FD5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00172-87A4-407C-B17E-C6228C78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35"/>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135"/>
    <w:pPr>
      <w:ind w:leftChars="200" w:left="480"/>
    </w:pPr>
  </w:style>
  <w:style w:type="table" w:styleId="a4">
    <w:name w:val="Table Grid"/>
    <w:basedOn w:val="a1"/>
    <w:uiPriority w:val="59"/>
    <w:rsid w:val="00122135"/>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2135"/>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FD53AD"/>
    <w:pPr>
      <w:tabs>
        <w:tab w:val="center" w:pos="4153"/>
        <w:tab w:val="right" w:pos="8306"/>
      </w:tabs>
      <w:snapToGrid w:val="0"/>
    </w:pPr>
    <w:rPr>
      <w:sz w:val="20"/>
      <w:szCs w:val="20"/>
    </w:rPr>
  </w:style>
  <w:style w:type="character" w:customStyle="1" w:styleId="a6">
    <w:name w:val="頁首 字元"/>
    <w:basedOn w:val="a0"/>
    <w:link w:val="a5"/>
    <w:uiPriority w:val="99"/>
    <w:rsid w:val="00FD53AD"/>
    <w:rPr>
      <w:rFonts w:ascii="Times New Roman" w:eastAsia="標楷體" w:hAnsi="Times New Roman"/>
      <w:sz w:val="20"/>
      <w:szCs w:val="20"/>
    </w:rPr>
  </w:style>
  <w:style w:type="paragraph" w:styleId="a7">
    <w:name w:val="footer"/>
    <w:basedOn w:val="a"/>
    <w:link w:val="a8"/>
    <w:uiPriority w:val="99"/>
    <w:unhideWhenUsed/>
    <w:rsid w:val="00FD53AD"/>
    <w:pPr>
      <w:tabs>
        <w:tab w:val="center" w:pos="4153"/>
        <w:tab w:val="right" w:pos="8306"/>
      </w:tabs>
      <w:snapToGrid w:val="0"/>
    </w:pPr>
    <w:rPr>
      <w:sz w:val="20"/>
      <w:szCs w:val="20"/>
    </w:rPr>
  </w:style>
  <w:style w:type="character" w:customStyle="1" w:styleId="a8">
    <w:name w:val="頁尾 字元"/>
    <w:basedOn w:val="a0"/>
    <w:link w:val="a7"/>
    <w:uiPriority w:val="99"/>
    <w:rsid w:val="00FD53AD"/>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2020-02-25T11:42:00Z</dcterms:created>
  <dcterms:modified xsi:type="dcterms:W3CDTF">2020-04-20T16:15:00Z</dcterms:modified>
</cp:coreProperties>
</file>